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D6E" w:rsidRPr="00367D6E" w:rsidRDefault="00367D6E" w:rsidP="00367D6E">
      <w:pPr>
        <w:spacing w:after="0" w:line="240" w:lineRule="auto"/>
        <w:jc w:val="center"/>
        <w:rPr>
          <w:rFonts w:ascii="Times New Roman" w:hAnsi="Times New Roman" w:cs="Times New Roman"/>
          <w:b/>
          <w:color w:val="0070C0"/>
          <w:sz w:val="28"/>
          <w:szCs w:val="28"/>
        </w:rPr>
      </w:pPr>
      <w:bookmarkStart w:id="0" w:name="_GoBack"/>
      <w:bookmarkEnd w:id="0"/>
      <w:r w:rsidRPr="00367D6E">
        <w:rPr>
          <w:rFonts w:ascii="Times New Roman" w:hAnsi="Times New Roman" w:cs="Times New Roman"/>
          <w:b/>
          <w:color w:val="0070C0"/>
          <w:sz w:val="28"/>
          <w:szCs w:val="28"/>
        </w:rPr>
        <w:t>Рассчитать НДФЛ к уплате проще с помощью сервиса</w:t>
      </w:r>
    </w:p>
    <w:p w:rsidR="00367D6E" w:rsidRPr="00046F52" w:rsidRDefault="00367D6E" w:rsidP="00367D6E">
      <w:pPr>
        <w:spacing w:after="0" w:line="240" w:lineRule="auto"/>
        <w:ind w:firstLine="709"/>
        <w:rPr>
          <w:rFonts w:ascii="Times New Roman" w:hAnsi="Times New Roman" w:cs="Times New Roman"/>
          <w:b/>
          <w:sz w:val="28"/>
          <w:szCs w:val="28"/>
        </w:rPr>
      </w:pPr>
    </w:p>
    <w:p w:rsidR="00367D6E" w:rsidRPr="00367D6E" w:rsidRDefault="00367D6E" w:rsidP="00367D6E">
      <w:pPr>
        <w:spacing w:after="0" w:line="240" w:lineRule="auto"/>
        <w:ind w:firstLine="709"/>
        <w:jc w:val="both"/>
        <w:rPr>
          <w:rFonts w:ascii="Times New Roman" w:hAnsi="Times New Roman" w:cs="Times New Roman"/>
          <w:sz w:val="26"/>
          <w:szCs w:val="26"/>
        </w:rPr>
      </w:pPr>
      <w:r w:rsidRPr="00367D6E">
        <w:rPr>
          <w:rFonts w:ascii="Times New Roman" w:hAnsi="Times New Roman" w:cs="Times New Roman"/>
          <w:sz w:val="26"/>
          <w:szCs w:val="26"/>
        </w:rPr>
        <w:t>На официальном сайте ФНС России размещен новый электронный сервис «Калькулятор НДФЛ». Он позволяет налогоплательщикам быстро и легко рассчитать сумму налога на основании собственных данных о полученных доходах.</w:t>
      </w:r>
    </w:p>
    <w:p w:rsidR="00367D6E" w:rsidRPr="00367D6E" w:rsidRDefault="00367D6E" w:rsidP="00367D6E">
      <w:pPr>
        <w:spacing w:after="0" w:line="240" w:lineRule="auto"/>
        <w:ind w:firstLine="709"/>
        <w:jc w:val="both"/>
        <w:rPr>
          <w:rFonts w:ascii="Times New Roman" w:hAnsi="Times New Roman" w:cs="Times New Roman"/>
          <w:sz w:val="26"/>
          <w:szCs w:val="26"/>
        </w:rPr>
      </w:pPr>
      <w:r w:rsidRPr="00367D6E">
        <w:rPr>
          <w:rFonts w:ascii="Times New Roman" w:hAnsi="Times New Roman" w:cs="Times New Roman"/>
          <w:sz w:val="26"/>
          <w:szCs w:val="26"/>
        </w:rPr>
        <w:t>Для расчета определяем свой статус налогового резидента. Налоговый резидент – лицо, фактически находящееся на территории РФ не менее 183 календарных дней в течение 12 следующих подряд месяцев. Быстро определить статус поможет сервис «Подтверждение статуса налогового резидента Российской Федерации».</w:t>
      </w:r>
    </w:p>
    <w:p w:rsidR="00367D6E" w:rsidRPr="00367D6E" w:rsidRDefault="00367D6E" w:rsidP="00367D6E">
      <w:pPr>
        <w:spacing w:after="0" w:line="240" w:lineRule="auto"/>
        <w:ind w:firstLine="709"/>
        <w:jc w:val="both"/>
        <w:rPr>
          <w:rFonts w:ascii="Times New Roman" w:hAnsi="Times New Roman" w:cs="Times New Roman"/>
          <w:sz w:val="26"/>
          <w:szCs w:val="26"/>
        </w:rPr>
      </w:pPr>
      <w:r w:rsidRPr="00367D6E">
        <w:rPr>
          <w:rFonts w:ascii="Times New Roman" w:hAnsi="Times New Roman" w:cs="Times New Roman"/>
          <w:sz w:val="26"/>
          <w:szCs w:val="26"/>
        </w:rPr>
        <w:t>Указываем сумму по каждому виду доходов и завершаем расчет. Калькулятор показывает ориентировочную сумму налога, которую предстоит уплатить. Как сформировалась эта сумма можно посмотреть, нажав на кнопку «Порядок расчета налога».</w:t>
      </w:r>
    </w:p>
    <w:p w:rsidR="00367D6E" w:rsidRPr="00367D6E" w:rsidRDefault="00367D6E" w:rsidP="00367D6E">
      <w:pPr>
        <w:spacing w:after="0" w:line="240" w:lineRule="auto"/>
        <w:ind w:firstLine="709"/>
        <w:jc w:val="both"/>
        <w:rPr>
          <w:rFonts w:ascii="Times New Roman" w:hAnsi="Times New Roman" w:cs="Times New Roman"/>
          <w:sz w:val="26"/>
          <w:szCs w:val="26"/>
        </w:rPr>
      </w:pPr>
      <w:r w:rsidRPr="00367D6E">
        <w:rPr>
          <w:rFonts w:ascii="Times New Roman" w:hAnsi="Times New Roman" w:cs="Times New Roman"/>
          <w:sz w:val="26"/>
          <w:szCs w:val="26"/>
        </w:rPr>
        <w:t>Сервис производит предварительный расчет НДФЛ, в нем не учтены налоговые вычеты и прочие виды доходов, к которым применяются иные ставки.</w:t>
      </w:r>
    </w:p>
    <w:p w:rsidR="00367D6E" w:rsidRPr="00367D6E" w:rsidRDefault="00367D6E" w:rsidP="00367D6E">
      <w:pPr>
        <w:spacing w:after="0" w:line="240" w:lineRule="auto"/>
        <w:ind w:firstLine="709"/>
        <w:jc w:val="both"/>
        <w:rPr>
          <w:rFonts w:ascii="Times New Roman" w:hAnsi="Times New Roman" w:cs="Times New Roman"/>
          <w:sz w:val="26"/>
          <w:szCs w:val="26"/>
        </w:rPr>
      </w:pPr>
      <w:r w:rsidRPr="00367D6E">
        <w:rPr>
          <w:rFonts w:ascii="Times New Roman" w:hAnsi="Times New Roman" w:cs="Times New Roman"/>
          <w:sz w:val="26"/>
          <w:szCs w:val="26"/>
        </w:rPr>
        <w:t>Подробнее о порядке исчисления и уплаты НДФЛ расскажет раздел официального сайта ФНС России «Налог на доходы физических лиц».</w:t>
      </w:r>
    </w:p>
    <w:p w:rsidR="00367D6E" w:rsidRDefault="00367D6E" w:rsidP="005F69E2">
      <w:pPr>
        <w:pStyle w:val="a3"/>
        <w:spacing w:before="0" w:beforeAutospacing="0" w:after="0" w:afterAutospacing="0"/>
        <w:ind w:firstLine="709"/>
        <w:jc w:val="center"/>
        <w:rPr>
          <w:b/>
          <w:color w:val="000000"/>
          <w:sz w:val="28"/>
          <w:szCs w:val="28"/>
        </w:rPr>
      </w:pPr>
    </w:p>
    <w:p w:rsidR="005F69E2" w:rsidRPr="00367D6E" w:rsidRDefault="005F69E2" w:rsidP="005F69E2">
      <w:pPr>
        <w:pStyle w:val="a3"/>
        <w:spacing w:before="0" w:beforeAutospacing="0" w:after="0" w:afterAutospacing="0"/>
        <w:ind w:firstLine="709"/>
        <w:jc w:val="center"/>
        <w:rPr>
          <w:b/>
          <w:color w:val="0070C0"/>
          <w:sz w:val="28"/>
          <w:szCs w:val="28"/>
        </w:rPr>
      </w:pPr>
      <w:r w:rsidRPr="00367D6E">
        <w:rPr>
          <w:b/>
          <w:color w:val="0070C0"/>
          <w:sz w:val="28"/>
          <w:szCs w:val="28"/>
        </w:rPr>
        <w:t>Упрощение процедуры работы с «ненулевыми» декларациями: что изменилось с 26 июля 2026 года</w:t>
      </w:r>
    </w:p>
    <w:p w:rsidR="00367D6E" w:rsidRPr="005F69E2" w:rsidRDefault="00367D6E" w:rsidP="005F69E2">
      <w:pPr>
        <w:pStyle w:val="a3"/>
        <w:spacing w:before="0" w:beforeAutospacing="0" w:after="0" w:afterAutospacing="0"/>
        <w:ind w:firstLine="709"/>
        <w:jc w:val="center"/>
        <w:rPr>
          <w:b/>
          <w:color w:val="000000"/>
          <w:sz w:val="28"/>
          <w:szCs w:val="28"/>
        </w:rPr>
      </w:pPr>
    </w:p>
    <w:p w:rsidR="005F69E2" w:rsidRPr="00367D6E" w:rsidRDefault="005F69E2" w:rsidP="005F69E2">
      <w:pPr>
        <w:pStyle w:val="a3"/>
        <w:spacing w:before="0" w:beforeAutospacing="0" w:after="0" w:afterAutospacing="0"/>
        <w:ind w:firstLine="709"/>
        <w:jc w:val="both"/>
        <w:rPr>
          <w:color w:val="000000"/>
          <w:sz w:val="26"/>
          <w:szCs w:val="26"/>
        </w:rPr>
      </w:pPr>
      <w:r w:rsidRPr="00367D6E">
        <w:rPr>
          <w:color w:val="000000"/>
          <w:sz w:val="26"/>
          <w:szCs w:val="26"/>
        </w:rPr>
        <w:t>С 26 июля 2026 года для бизнеса вступили в силу изменения, упрощающие процедуру работы с «ненулевыми» декларациями. Нововведения направлены на сокращение административной нагрузки и ускорение взаимодействия налогоплательщиков с налоговыми органами в случаях, когда единственным выявленным нарушением является просрочка сдачи отчётности.</w:t>
      </w:r>
    </w:p>
    <w:p w:rsidR="005F69E2" w:rsidRPr="00367D6E" w:rsidRDefault="005F69E2" w:rsidP="005F69E2">
      <w:pPr>
        <w:pStyle w:val="a3"/>
        <w:spacing w:before="0" w:beforeAutospacing="0" w:after="0" w:afterAutospacing="0"/>
        <w:ind w:firstLine="709"/>
        <w:jc w:val="both"/>
        <w:rPr>
          <w:color w:val="000000"/>
          <w:sz w:val="26"/>
          <w:szCs w:val="26"/>
        </w:rPr>
      </w:pPr>
      <w:r w:rsidRPr="00367D6E">
        <w:rPr>
          <w:color w:val="000000"/>
          <w:sz w:val="26"/>
          <w:szCs w:val="26"/>
        </w:rPr>
        <w:t>Суть изменений заключается в следующем: если в ходе камеральной проверки инспекция фиксирует только факт несвоевременной подачи декларации и при этом не выявляет иных нарушений, процедура рассмотрения материалов существенно упрощается. В такой ситуации не составляется акт налоговой проверки, а рассмотрение материалов осуществляется инспектором без обязательного участия налогоплательщика. Решение — о взыскании штрафа либо об отказе в его взыскании — должно быть вынесено не позднее чем через 5 рабочих дней после окончания проверки.</w:t>
      </w:r>
    </w:p>
    <w:p w:rsidR="005F69E2" w:rsidRPr="00367D6E" w:rsidRDefault="005F69E2" w:rsidP="005F69E2">
      <w:pPr>
        <w:pStyle w:val="a3"/>
        <w:spacing w:before="0" w:beforeAutospacing="0" w:after="0" w:afterAutospacing="0"/>
        <w:ind w:firstLine="709"/>
        <w:jc w:val="both"/>
        <w:rPr>
          <w:color w:val="000000"/>
          <w:sz w:val="26"/>
          <w:szCs w:val="26"/>
        </w:rPr>
      </w:pPr>
      <w:r w:rsidRPr="00367D6E">
        <w:rPr>
          <w:color w:val="000000"/>
          <w:sz w:val="26"/>
          <w:szCs w:val="26"/>
        </w:rPr>
        <w:t>Важным элементом обновлённого порядка стала возможность заблаговременно представить документы, подтверждающие наличие смягчающих обстоятельств. Теперь налогоплательщик вправе приложить такие материалы непосредственно вместе с декларацией — даже если она подаётся с опозданием. Ранее подобные доказательства зачастую представлялись уже на стадии обжалования, тогда как новый механизм позволяет заявить свою позицию на раннем этапе. В качестве подтверждающих документов могут выступать, например, листок нетрудоспособности ответственного сотрудника или справка, фиксирующая технический сбой в системе электронного документооборота.</w:t>
      </w:r>
    </w:p>
    <w:p w:rsidR="005F69E2" w:rsidRPr="00367D6E" w:rsidRDefault="005F69E2" w:rsidP="005F69E2">
      <w:pPr>
        <w:pStyle w:val="a3"/>
        <w:spacing w:before="0" w:beforeAutospacing="0" w:after="0" w:afterAutospacing="0"/>
        <w:ind w:firstLine="709"/>
        <w:jc w:val="both"/>
        <w:rPr>
          <w:color w:val="000000"/>
          <w:sz w:val="26"/>
          <w:szCs w:val="26"/>
        </w:rPr>
      </w:pPr>
      <w:r w:rsidRPr="00367D6E">
        <w:rPr>
          <w:color w:val="000000"/>
          <w:sz w:val="26"/>
          <w:szCs w:val="26"/>
        </w:rPr>
        <w:t>Следует учитывать и ещё один нюанс: если до момента вынесения решения налогоплательщик представит уточнённую декларацию, итоговое решение будет приниматься уже на основании её данных. Кроме того, для таких случаев предусмотрен упрощённый порядок обжалования итогового решения налогового органа.</w:t>
      </w:r>
    </w:p>
    <w:p w:rsidR="005F69E2" w:rsidRPr="00367D6E" w:rsidRDefault="005F69E2" w:rsidP="005F69E2">
      <w:pPr>
        <w:pStyle w:val="a3"/>
        <w:spacing w:before="0" w:beforeAutospacing="0" w:after="0" w:afterAutospacing="0"/>
        <w:ind w:firstLine="709"/>
        <w:jc w:val="both"/>
        <w:rPr>
          <w:color w:val="000000"/>
          <w:sz w:val="26"/>
          <w:szCs w:val="26"/>
        </w:rPr>
      </w:pPr>
      <w:r w:rsidRPr="00367D6E">
        <w:rPr>
          <w:color w:val="000000"/>
          <w:sz w:val="26"/>
          <w:szCs w:val="26"/>
        </w:rPr>
        <w:t>Действие указанных правил распространяется на отчётность, представляемую начиная с 26 июля 2026 года.</w:t>
      </w:r>
    </w:p>
    <w:p w:rsidR="005F69E2" w:rsidRDefault="005F69E2" w:rsidP="005F69E2">
      <w:pPr>
        <w:pStyle w:val="a3"/>
        <w:spacing w:before="0" w:beforeAutospacing="0" w:after="0" w:afterAutospacing="0"/>
        <w:ind w:firstLine="709"/>
        <w:jc w:val="both"/>
        <w:rPr>
          <w:color w:val="000000"/>
          <w:sz w:val="26"/>
          <w:szCs w:val="26"/>
        </w:rPr>
      </w:pPr>
      <w:r w:rsidRPr="00367D6E">
        <w:rPr>
          <w:color w:val="000000"/>
          <w:sz w:val="26"/>
          <w:szCs w:val="26"/>
        </w:rPr>
        <w:t>Практический совет для налогоплательщиков: если существует риск не уложиться в установленный срок подачи декларации, целесообразно заранее подготовить комплект документов, обосновывающих причины задержки, и приложить его к отчётности. Такой подход позволит своевременно заявить о наличии смягчающих обстоятельств и повысит вероятность их учёта при принятии решения налоговым органом.</w:t>
      </w:r>
    </w:p>
    <w:p w:rsidR="00367D6E" w:rsidRPr="00367D6E" w:rsidRDefault="00367D6E" w:rsidP="00367D6E">
      <w:pPr>
        <w:spacing w:after="0" w:line="240" w:lineRule="auto"/>
        <w:ind w:firstLine="709"/>
        <w:jc w:val="right"/>
        <w:rPr>
          <w:color w:val="000000"/>
          <w:sz w:val="26"/>
          <w:szCs w:val="26"/>
        </w:rPr>
      </w:pPr>
      <w:proofErr w:type="gramStart"/>
      <w:r w:rsidRPr="007028F3">
        <w:rPr>
          <w:rFonts w:ascii="Times New Roman" w:hAnsi="Times New Roman" w:cs="Times New Roman"/>
          <w:i/>
          <w:sz w:val="28"/>
          <w:szCs w:val="28"/>
        </w:rPr>
        <w:t>Межрайонная</w:t>
      </w:r>
      <w:proofErr w:type="gramEnd"/>
      <w:r w:rsidRPr="007028F3">
        <w:rPr>
          <w:rFonts w:ascii="Times New Roman" w:hAnsi="Times New Roman" w:cs="Times New Roman"/>
          <w:i/>
          <w:sz w:val="28"/>
          <w:szCs w:val="28"/>
        </w:rPr>
        <w:t xml:space="preserve"> ИФНС России № 12 по Саратовской области</w:t>
      </w:r>
    </w:p>
    <w:sectPr w:rsidR="00367D6E" w:rsidRPr="00367D6E" w:rsidSect="00367D6E">
      <w:pgSz w:w="11906" w:h="16838"/>
      <w:pgMar w:top="426" w:right="424"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9E2"/>
    <w:rsid w:val="00107496"/>
    <w:rsid w:val="00367D6E"/>
    <w:rsid w:val="004E7757"/>
    <w:rsid w:val="005F69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F69E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F69E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10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520</Words>
  <Characters>2964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Кузнецова Валентина Николаевна</dc:creator>
  <cp:lastModifiedBy>Пащенко Марина Николаевна</cp:lastModifiedBy>
  <cp:revision>2</cp:revision>
  <dcterms:created xsi:type="dcterms:W3CDTF">2026-08-05T05:50:00Z</dcterms:created>
  <dcterms:modified xsi:type="dcterms:W3CDTF">2026-08-05T05:50:00Z</dcterms:modified>
</cp:coreProperties>
</file>