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ПРЕСС-РЕЛИЗ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</w:rPr>
        <w:t xml:space="preserve">В Корпорации МСП рассказали, как малому и среднему бизнесу получить льготный кредит при отсутствии залога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Компании малого и среднего бизнеса при нехватке или отсутствии залога для получения льготного кредитования могут получить поручительство Корпорации МСП или региональных гарантийных организаций (РГО). Поручительства и гарантии выдаются по всем льготным программам кредитования, которые действуют в настоящее время. Это «ПСК Инвестиционная», «Программа 1764» и «ПСК Оборотная». Поручительства и гарантии Корпорации покрывают до 50% от суммы кредита. 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eastAsia="ru-RU"/>
        </w:rPr>
        <w:t>Также предприниматели Саратовской области могут получить поручительство региональной гарантийной организации Акционерного общества «Гарантийный фонд для субъектов малого предпринимательства Саратовской области» (АО «Фонд») в размере не более 50% от суммы кредита. Максимальный объем поручительства составляет 25 млн. рублей. При предоставлении совместной гарантии с Корпорацией МСП объем гарантийного обеспечения увеличивается до 75% суммы кредита или 90% суммы кредита, предоставленного начинающему предпринимателю.</w:t>
      </w:r>
      <w:r>
        <w:rPr>
          <w:rFonts w:eastAsia="Times New Roman" w:cs="Times New Roman" w:ascii="Times New Roman" w:hAnsi="Times New Roman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eastAsia="ru-RU"/>
        </w:rPr>
        <w:t>В рамках реализации уставных задач АО «Фонд» работает с 18 финансовыми организациями, среди которых банки, лизинговые организации, Фондом микрокредитования Саратовской области, ФРП СО, ФРП РФ.</w:t>
      </w:r>
      <w:bookmarkStart w:id="0" w:name="_GoBack"/>
      <w:bookmarkEnd w:id="0"/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В рамка </w:t>
      </w:r>
      <w:r>
        <w:rPr>
          <w:rStyle w:val="Style13"/>
          <w:rFonts w:eastAsia="Times New Roman" w:cs="Times New Roman" w:ascii="Times New Roman" w:hAnsi="Times New Roman"/>
          <w:color w:val="auto"/>
          <w:sz w:val="24"/>
          <w:szCs w:val="24"/>
          <w:u w:val="none"/>
          <w:lang w:eastAsia="ru-RU"/>
        </w:rPr>
        <w:t>«зонтичного» механизма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поручительств Корпорация МСП покрывает до 50% от суммы кредита. Размер поручительства по кредиту (или нескольким кредитам) на одного предпринимателя может достигать 1 млрд рублей и выдаваться на срок до 180 месяцев. Данный вид поручительства предоставляется «бесшовно» при обращении за кредитом в один в десяти </w:t>
      </w:r>
      <w:hyperlink r:id="rId2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t>банков-партнеров</w:t>
        </w:r>
      </w:hyperlink>
      <w:r>
        <w:rPr>
          <w:rStyle w:val="Style13"/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Style w:val="Style13"/>
          <w:rFonts w:eastAsia="Times New Roman" w:cs="Times New Roman" w:ascii="Times New Roman" w:hAnsi="Times New Roman"/>
          <w:color w:val="auto"/>
          <w:sz w:val="24"/>
          <w:szCs w:val="24"/>
          <w:u w:val="none"/>
          <w:lang w:eastAsia="ru-RU"/>
        </w:rPr>
        <w:t>Независимые гарантии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Корпорации МСП покрывают до 50% от суммы кредита. Получить гарантию можно после одобрения кредита в </w:t>
      </w:r>
      <w:hyperlink r:id="rId3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t>банке-партнере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Для увеличения покрытия в дополнение к независимой гарантии Корпорации МСП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предприниматель может получить поручительство РГО. Суммарно они могут обеспечить до 75% от суммы кредита.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«Правительством, Минэкономразвития и Центробанком приняты новые антикризисные программы кредитования, ставки ним: до 13,5% – для среднего бизнеса, до 15% – для малых предприятий. По всем этим программам бизнес может получить финансирование под наше поручительство, то есть Корпорация берет на себя риски, чтобы банки активнее кредитовали и не отказывали бизнесу. Что важно, по всем случаям отказов мы через наш «Сервис 360°» принимаем обращения и разбираемся. Наша задача – оказать бизнесу всестороннюю поддержку, чтобы предприниматели могли сохранить свое дело и коллективы», – заявил генеральный директор Корпорации МСП Александр Исаевич.</w:t>
      </w:r>
    </w:p>
    <w:p>
      <w:pPr>
        <w:pStyle w:val="Normal"/>
        <w:spacing w:lineRule="auto" w:line="264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64" w:before="0" w:after="0"/>
        <w:jc w:val="both"/>
        <w:rPr>
          <w:rFonts w:ascii="Times New Roman" w:hAnsi="Times New Roman" w:eastAsia="Times New Roman" w:cs="Times New Roman"/>
          <w:i/>
          <w:i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0"/>
          <w:szCs w:val="20"/>
          <w:lang w:eastAsia="ru-RU"/>
        </w:rPr>
        <w:t>Корпорация МСП</w:t>
      </w:r>
      <w:r>
        <w:rPr>
          <w:rFonts w:eastAsia="Times New Roman" w:cs="Times New Roman" w:ascii="Times New Roman" w:hAnsi="Times New Roman"/>
          <w:i/>
          <w:sz w:val="20"/>
          <w:szCs w:val="20"/>
          <w:lang w:eastAsia="ru-RU"/>
        </w:rPr>
        <w:t xml:space="preserve"> — институт развития малого и среднего предпринимательства. Она предоставляет гарантии и поручительства для кредитования бизнеса, обеспечивает доступ к закупкам крупнейших заказчиков и помогает попасть на полки ритейлеров. Корпорация является также федеральным институтом инновационного развития, предоставляет поддержку высокотехнологичным инновационным субъектам МСП. Корпорация МСП оказывает также финансовую поддержку через МСП Банк и краудинвестинговые платформы, проводит обучение предпринимательским компетенциям и реализует программы по акселерации бизнеса. Через УК «МИР» финансирует компании на стадии роста и развития. При помощи дочерних региональных лизинговых компаний оказывает льготную лизинговую поддержку.</w:t>
      </w:r>
    </w:p>
    <w:sectPr>
      <w:headerReference w:type="default" r:id="rId4"/>
      <w:footerReference w:type="default" r:id="rId5"/>
      <w:type w:val="nextPage"/>
      <w:pgSz w:w="11906" w:h="16838"/>
      <w:pgMar w:left="1701" w:right="850" w:header="142" w:top="568" w:footer="130" w:bottom="993" w:gutter="0"/>
      <w:pgNumType w:start="1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center" w:pos="4677" w:leader="none"/>
        <w:tab w:val="right" w:pos="9355" w:leader="none"/>
      </w:tabs>
      <w:spacing w:before="0" w:after="160"/>
      <w:jc w:val="right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lineRule="auto" w:line="276"/>
      <w:rPr>
        <w:rFonts w:ascii="Times New Roman" w:hAnsi="Times New Roman" w:cs="Times New Roman"/>
        <w:color w:val="000000"/>
        <w:sz w:val="24"/>
        <w:szCs w:val="24"/>
      </w:rPr>
    </w:pPr>
    <w:r>
      <w:rPr>
        <w:rFonts w:cs="Times New Roman" w:ascii="Times New Roman" w:hAnsi="Times New Roman"/>
        <w:color w:val="000000"/>
        <w:sz w:val="24"/>
        <w:szCs w:val="24"/>
      </w:rPr>
    </w:r>
  </w:p>
  <w:tbl>
    <w:tblPr>
      <w:tblStyle w:val="StGen0"/>
      <w:tblW w:w="9355" w:type="dxa"/>
      <w:jc w:val="left"/>
      <w:tblInd w:w="0" w:type="dxa"/>
      <w:tblLayout w:type="fixed"/>
      <w:tblCellMar>
        <w:top w:w="0" w:type="dxa"/>
        <w:left w:w="115" w:type="dxa"/>
        <w:bottom w:w="0" w:type="dxa"/>
        <w:right w:w="115" w:type="dxa"/>
      </w:tblCellMar>
      <w:tblLook w:lastRow="0" w:firstRow="0" w:lastColumn="0" w:firstColumn="0" w:val="0400" w:noHBand="0" w:noVBand="1"/>
    </w:tblPr>
    <w:tblGrid>
      <w:gridCol w:w="4712"/>
      <w:gridCol w:w="4642"/>
    </w:tblGrid>
    <w:tr>
      <w:trPr>
        <w:trHeight w:val="1441" w:hRule="atLeast"/>
      </w:trPr>
      <w:tc>
        <w:tcPr>
          <w:tcW w:w="4712" w:type="dxa"/>
          <w:tcBorders/>
        </w:tcPr>
        <w:p>
          <w:pPr>
            <w:pStyle w:val="Normal"/>
            <w:widowControl/>
            <w:tabs>
              <w:tab w:val="clear" w:pos="708"/>
              <w:tab w:val="center" w:pos="4677" w:leader="none"/>
              <w:tab w:val="center" w:pos="5387" w:leader="none"/>
              <w:tab w:val="right" w:pos="9355" w:leader="none"/>
            </w:tabs>
            <w:spacing w:lineRule="auto" w:line="240" w:before="0" w:after="0"/>
            <w:jc w:val="left"/>
            <w:rPr>
              <w:color w:val="000000"/>
            </w:rPr>
          </w:pPr>
          <w:r>
            <w:rPr>
              <w:rFonts w:eastAsia="Times New Roman" w:cs="Calibri"/>
              <w:kern w:val="0"/>
              <w:sz w:val="20"/>
              <w:szCs w:val="20"/>
              <w:lang w:val="ru-RU" w:eastAsia="ru-RU" w:bidi="ar-SA"/>
            </w:rPr>
            <mc:AlternateContent>
              <mc:Choice Requires="wps">
                <w:drawing>
                  <wp:anchor behindDoc="1" distT="0" distB="0" distL="0" distR="0" simplePos="0" locked="0" layoutInCell="1" allowOverlap="1" relativeHeight="2" wp14:anchorId="37F3ECB7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635</wp:posOffset>
                    </wp:positionV>
                    <wp:extent cx="635635" cy="635635"/>
                    <wp:effectExtent l="0" t="0" r="0" b="0"/>
                    <wp:wrapNone/>
                    <wp:docPr id="1" name="Прямоугольник 1" hidden="1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5040" cy="6350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rect id="shape_0" ID="Прямоугольник 1" fillcolor="white" stroked="t" style="position:absolute;margin-left:0pt;margin-top:0pt;width:49.95pt;height:49.95pt;mso-wrap-style:none;v-text-anchor:middle" wp14:anchorId="37F3ECB7">
                    <v:fill o:detectmouseclick="t" type="solid" color2="black"/>
                    <v:stroke color="black" weight="9360" joinstyle="round" endcap="flat"/>
                    <w10:wrap type="none"/>
                  </v:rect>
                </w:pict>
              </mc:Fallback>
            </mc:AlternateContent>
            <w:object>
              <v:shape id="ole_rId1" style="width:112.5pt;height:60.75pt" o:ole="">
                <v:imagedata r:id="rId2" o:title=""/>
              </v:shape>
              <o:OLEObject Type="Embed" ProgID="PBrush" ShapeID="ole_rId1" DrawAspect="Content" ObjectID="_269664295" r:id="rId1"/>
            </w:object>
          </w:r>
        </w:p>
      </w:tc>
      <w:tc>
        <w:tcPr>
          <w:tcW w:w="4642" w:type="dxa"/>
          <w:tcBorders/>
        </w:tcPr>
        <w:p>
          <w:pPr>
            <w:pStyle w:val="Normal"/>
            <w:widowControl/>
            <w:tabs>
              <w:tab w:val="clear" w:pos="708"/>
              <w:tab w:val="center" w:pos="4677" w:leader="none"/>
              <w:tab w:val="center" w:pos="5387" w:leader="none"/>
              <w:tab w:val="right" w:pos="9355" w:leader="none"/>
            </w:tabs>
            <w:spacing w:lineRule="auto" w:line="240" w:before="0" w:after="0"/>
            <w:jc w:val="left"/>
            <w:rPr>
              <w:color w:val="000000"/>
            </w:rPr>
          </w:pPr>
          <w:r>
            <w:rPr>
              <w:rFonts w:eastAsia="Times New Roman" w:cs="Calibri"/>
              <w:color w:val="000000"/>
              <w:kern w:val="0"/>
              <w:sz w:val="20"/>
              <w:szCs w:val="20"/>
              <w:lang w:val="ru-RU" w:eastAsia="ru-RU" w:bidi="ar-SA"/>
            </w:rPr>
          </w:r>
        </w:p>
      </w:tc>
    </w:tr>
  </w:tbl>
  <w:p>
    <w:pPr>
      <w:pStyle w:val="Normal"/>
      <w:tabs>
        <w:tab w:val="clear" w:pos="708"/>
        <w:tab w:val="center" w:pos="4677" w:leader="none"/>
        <w:tab w:val="right" w:pos="9355" w:leader="none"/>
      </w:tabs>
      <w:spacing w:before="0" w:after="160"/>
      <w:rPr>
        <w:color w:val="000000"/>
        <w:sz w:val="4"/>
        <w:szCs w:val="4"/>
      </w:rPr>
    </w:pPr>
    <w:r>
      <w:rPr>
        <w:color w:val="000000"/>
        <w:sz w:val="4"/>
        <w:szCs w:val="4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9d164e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umpedfont20" w:customStyle="1">
    <w:name w:val="bumpedfont20"/>
    <w:basedOn w:val="DefaultParagraphFont"/>
    <w:qFormat/>
    <w:rsid w:val="00437078"/>
    <w:rPr>
      <w:rFonts w:ascii="Times New Roman" w:hAnsi="Times New Roman" w:cs="Times New Roman"/>
    </w:rPr>
  </w:style>
  <w:style w:type="character" w:styleId="Whitespacenormal" w:customStyle="1">
    <w:name w:val="white-space-normal"/>
    <w:basedOn w:val="DefaultParagraphFont"/>
    <w:qFormat/>
    <w:rsid w:val="005212d7"/>
    <w:rPr/>
  </w:style>
  <w:style w:type="character" w:styleId="Style13">
    <w:name w:val="Интернет-ссылка"/>
    <w:basedOn w:val="DefaultParagraphFont"/>
    <w:uiPriority w:val="99"/>
    <w:unhideWhenUsed/>
    <w:rsid w:val="005212d7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1f3b40"/>
    <w:rPr>
      <w:rFonts w:ascii="Segoe UI" w:hAnsi="Segoe UI" w:cs="Segoe UI"/>
      <w:sz w:val="18"/>
      <w:szCs w:val="18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9d164e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5">
    <w:name w:val="Посещённая гиперссылка"/>
    <w:basedOn w:val="DefaultParagraphFont"/>
    <w:uiPriority w:val="99"/>
    <w:semiHidden/>
    <w:unhideWhenUsed/>
    <w:rsid w:val="00066cf4"/>
    <w:rPr>
      <w:color w:val="954F72" w:themeColor="followed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16107"/>
    <w:rPr>
      <w:sz w:val="16"/>
      <w:szCs w:val="16"/>
    </w:rPr>
  </w:style>
  <w:style w:type="character" w:styleId="Style16" w:customStyle="1">
    <w:name w:val="Текст примечания Знак"/>
    <w:basedOn w:val="DefaultParagraphFont"/>
    <w:link w:val="aa"/>
    <w:uiPriority w:val="99"/>
    <w:semiHidden/>
    <w:qFormat/>
    <w:rsid w:val="00316107"/>
    <w:rPr>
      <w:sz w:val="20"/>
      <w:szCs w:val="20"/>
    </w:rPr>
  </w:style>
  <w:style w:type="character" w:styleId="Style17" w:customStyle="1">
    <w:name w:val="Тема примечания Знак"/>
    <w:basedOn w:val="Style16"/>
    <w:link w:val="ac"/>
    <w:uiPriority w:val="99"/>
    <w:semiHidden/>
    <w:qFormat/>
    <w:rsid w:val="00316107"/>
    <w:rPr>
      <w:b/>
      <w:bCs/>
      <w:sz w:val="20"/>
      <w:szCs w:val="20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Arial" w:hAnsi="Arial" w:eastAsia="Tahoma" w:cs="Droid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Droid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Droid Sans Devanagari"/>
    </w:rPr>
  </w:style>
  <w:style w:type="paragraph" w:styleId="Wordsection1" w:customStyle="1">
    <w:name w:val="wordsection1"/>
    <w:basedOn w:val="Normal"/>
    <w:uiPriority w:val="99"/>
    <w:qFormat/>
    <w:rsid w:val="0043707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ja-JP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1f3b4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cf4a0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63132a"/>
    <w:pPr>
      <w:spacing w:lineRule="auto" w:line="240" w:before="0" w:after="0"/>
      <w:ind w:left="720" w:hanging="0"/>
    </w:pPr>
    <w:rPr>
      <w:rFonts w:ascii="Calibri" w:hAnsi="Calibri" w:cs="Times New Roman"/>
    </w:rPr>
  </w:style>
  <w:style w:type="paragraph" w:styleId="Annotationtext">
    <w:name w:val="annotation text"/>
    <w:basedOn w:val="Normal"/>
    <w:link w:val="ab"/>
    <w:uiPriority w:val="99"/>
    <w:semiHidden/>
    <w:unhideWhenUsed/>
    <w:qFormat/>
    <w:rsid w:val="0031610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d"/>
    <w:uiPriority w:val="99"/>
    <w:semiHidden/>
    <w:unhideWhenUsed/>
    <w:qFormat/>
    <w:rsid w:val="00316107"/>
    <w:pPr/>
    <w:rPr>
      <w:b/>
      <w:bCs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Style23"/>
    <w:pPr/>
    <w:rPr/>
  </w:style>
  <w:style w:type="paragraph" w:styleId="Style25">
    <w:name w:val="Footer"/>
    <w:basedOn w:val="Style23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0">
    <w:name w:val="StGen0"/>
    <w:basedOn w:val="a1"/>
    <w:rsid w:val="00437078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orpmsp.ru/finansovaya-podderzhka/zontichnyy-mekhanizm-predostavleniya-poruchitelstv/" TargetMode="External"/><Relationship Id="rId3" Type="http://schemas.openxmlformats.org/officeDocument/2006/relationships/hyperlink" Target="https://corpmsp.ru/finansovaya-podderzhka/garantiynaya-podderzhka-subektov-msp-ngs/nezavisimye-garantii-korporatsii-msp/list_banki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21094-425A-48C7-A355-4AF3D7A5B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LibreOffice/7.0.6.2$Linux_X86_64 LibreOffice_project/00$Build-2</Application>
  <AppVersion>15.0000</AppVersion>
  <Pages>1</Pages>
  <Words>413</Words>
  <Characters>2915</Characters>
  <CharactersWithSpaces>3328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2022-03-18T10:07:00Z</dcterms:created>
  <dc:creator>Неровня Татьяна Юрьевна</dc:creator>
  <dc:description/>
  <dc:language>ru-RU</dc:language>
  <cp:lastModifiedBy/>
  <cp:lastPrinted>2021-12-24T17:51:00Z</cp:lastPrinted>
  <dcterms:modified xsi:type="dcterms:W3CDTF">2022-03-21T14:10:02Z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