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F74" w:rsidRDefault="00DC7F74">
      <w:pPr>
        <w:tabs>
          <w:tab w:val="left" w:pos="180"/>
        </w:tabs>
        <w:jc w:val="both"/>
        <w:rPr>
          <w:b/>
        </w:rPr>
      </w:pPr>
    </w:p>
    <w:p w:rsidR="00DC7F74" w:rsidRDefault="00DC7F74">
      <w:pPr>
        <w:tabs>
          <w:tab w:val="left" w:pos="180"/>
        </w:tabs>
        <w:jc w:val="both"/>
        <w:rPr>
          <w:b/>
        </w:rPr>
      </w:pPr>
    </w:p>
    <w:p w:rsidR="005C589C" w:rsidRPr="003D73E6" w:rsidRDefault="005C589C" w:rsidP="005C589C">
      <w:pPr>
        <w:tabs>
          <w:tab w:val="left" w:pos="180"/>
        </w:tabs>
        <w:jc w:val="center"/>
        <w:rPr>
          <w:b/>
          <w:sz w:val="26"/>
          <w:szCs w:val="26"/>
        </w:rPr>
      </w:pPr>
      <w:r w:rsidRPr="003D73E6">
        <w:rPr>
          <w:b/>
          <w:sz w:val="26"/>
          <w:szCs w:val="26"/>
        </w:rPr>
        <w:t xml:space="preserve">ВНИМАНИЕ НАЛОГОПЛАТЕЛЬЩИКАМ И </w:t>
      </w:r>
    </w:p>
    <w:p w:rsidR="00DC7F74" w:rsidRPr="003D73E6" w:rsidRDefault="005C589C" w:rsidP="005C589C">
      <w:pPr>
        <w:tabs>
          <w:tab w:val="left" w:pos="180"/>
        </w:tabs>
        <w:jc w:val="center"/>
        <w:rPr>
          <w:b/>
          <w:sz w:val="26"/>
          <w:szCs w:val="26"/>
        </w:rPr>
      </w:pPr>
      <w:r w:rsidRPr="003D73E6">
        <w:rPr>
          <w:b/>
          <w:sz w:val="26"/>
          <w:szCs w:val="26"/>
        </w:rPr>
        <w:t>УПРАВЛЯЮЩИМ КОМПАНИЯМ РЫНКОВ</w:t>
      </w:r>
    </w:p>
    <w:p w:rsidR="00EA1FB4" w:rsidRPr="003D73E6" w:rsidRDefault="008B1176" w:rsidP="00EA1FB4">
      <w:pPr>
        <w:ind w:firstLine="707"/>
        <w:jc w:val="both"/>
        <w:rPr>
          <w:color w:val="auto"/>
          <w:sz w:val="26"/>
          <w:szCs w:val="26"/>
        </w:rPr>
      </w:pPr>
      <w:r w:rsidRPr="003D73E6">
        <w:rPr>
          <w:color w:val="auto"/>
          <w:sz w:val="26"/>
          <w:szCs w:val="26"/>
        </w:rPr>
        <w:t xml:space="preserve">Межрайонная инспекция Федеральной налоговой службы России № 2 по Саратовской области </w:t>
      </w:r>
      <w:r w:rsidR="005C589C" w:rsidRPr="003D73E6">
        <w:rPr>
          <w:color w:val="auto"/>
          <w:sz w:val="26"/>
          <w:szCs w:val="26"/>
        </w:rPr>
        <w:t>сообщает.</w:t>
      </w:r>
    </w:p>
    <w:p w:rsidR="005A3368" w:rsidRPr="003D73E6" w:rsidRDefault="005A3368" w:rsidP="005C589C">
      <w:pPr>
        <w:ind w:firstLine="707"/>
        <w:jc w:val="both"/>
        <w:rPr>
          <w:color w:val="auto"/>
          <w:sz w:val="26"/>
          <w:szCs w:val="26"/>
        </w:rPr>
      </w:pPr>
      <w:proofErr w:type="gramStart"/>
      <w:r w:rsidRPr="003D73E6">
        <w:rPr>
          <w:color w:val="auto"/>
          <w:sz w:val="26"/>
          <w:szCs w:val="26"/>
        </w:rPr>
        <w:t>В связи с проведением отраслевого проекта по исключению недобросовестного поведения на рынках Правительством Российской Федерации внесены в Государственную Думу Федерального Собрания Российской Федерации поправки, предусматривающие изменения в Федеральный закон от 22.05.2003 № 54-ФЗ «О применении контрольно-кассовой техники при осуществлении расчетов в Российской Федерации», в части сокращения перечня исключений, позволяющих организациям и индивидуальным предпринимателям осуществлять расчеты на розничных рынках, ярмарках, в выставочных</w:t>
      </w:r>
      <w:proofErr w:type="gramEnd"/>
      <w:r w:rsidR="005C589C" w:rsidRPr="003D73E6">
        <w:rPr>
          <w:color w:val="auto"/>
          <w:sz w:val="26"/>
          <w:szCs w:val="26"/>
        </w:rPr>
        <w:t xml:space="preserve"> </w:t>
      </w:r>
      <w:bookmarkStart w:id="0" w:name="_GoBack"/>
      <w:bookmarkEnd w:id="0"/>
      <w:proofErr w:type="gramStart"/>
      <w:r w:rsidRPr="003D73E6">
        <w:rPr>
          <w:color w:val="auto"/>
          <w:sz w:val="26"/>
          <w:szCs w:val="26"/>
        </w:rPr>
        <w:t>комплексах</w:t>
      </w:r>
      <w:proofErr w:type="gramEnd"/>
      <w:r w:rsidRPr="003D73E6">
        <w:rPr>
          <w:color w:val="auto"/>
          <w:sz w:val="26"/>
          <w:szCs w:val="26"/>
        </w:rPr>
        <w:t xml:space="preserve"> без применения контрольно-кассовой техники.</w:t>
      </w:r>
    </w:p>
    <w:p w:rsidR="005A3368" w:rsidRPr="003D73E6" w:rsidRDefault="005A3368" w:rsidP="005C589C">
      <w:pPr>
        <w:ind w:firstLine="707"/>
        <w:jc w:val="both"/>
        <w:rPr>
          <w:color w:val="auto"/>
          <w:sz w:val="26"/>
          <w:szCs w:val="26"/>
        </w:rPr>
      </w:pPr>
      <w:r w:rsidRPr="003D73E6">
        <w:rPr>
          <w:color w:val="auto"/>
          <w:sz w:val="26"/>
          <w:szCs w:val="26"/>
        </w:rPr>
        <w:t>Вышеуказанные поправки предусматривают сохранение льготы неприменения контрольно-кассовой техники только для организаций и индивидуальных предпринимателей, применяющих систему налогообложения в виде единого сельскохозяйственного налога (ЕСХН) при торговле продовольственными товарами на розничных рынках, ярмарках и в выставочных комплексах с торговых мест площадью не более 15 кв. м. (включая места для хранения товара).</w:t>
      </w:r>
    </w:p>
    <w:p w:rsidR="005A3368" w:rsidRPr="003D73E6" w:rsidRDefault="007D5765" w:rsidP="005A3368">
      <w:pPr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proofErr w:type="gramStart"/>
      <w:r w:rsidRPr="003D73E6">
        <w:rPr>
          <w:color w:val="auto"/>
          <w:sz w:val="26"/>
          <w:szCs w:val="26"/>
        </w:rPr>
        <w:t>Е</w:t>
      </w:r>
      <w:r w:rsidR="005A3368" w:rsidRPr="003D73E6">
        <w:rPr>
          <w:color w:val="auto"/>
          <w:sz w:val="26"/>
          <w:szCs w:val="26"/>
        </w:rPr>
        <w:t xml:space="preserve">сли в настоящий момент организации и индивидуальные предприниматели не применяют систему налогообложения в виде ЕСХН, но обладают правом на ее применение и по остальным критериям проектируемой льготы имеют в будущем возможность не применять контрольно-кассовую технику при осуществлении расчетов на розничных рынках, ярмарках и выставочных комплексах, </w:t>
      </w:r>
      <w:r w:rsidRPr="003D73E6">
        <w:rPr>
          <w:color w:val="auto"/>
          <w:sz w:val="26"/>
          <w:szCs w:val="26"/>
        </w:rPr>
        <w:t xml:space="preserve"> дополнительно сообщаем </w:t>
      </w:r>
      <w:r w:rsidR="005A3368" w:rsidRPr="003D73E6">
        <w:rPr>
          <w:color w:val="auto"/>
          <w:sz w:val="26"/>
          <w:szCs w:val="26"/>
        </w:rPr>
        <w:t>о возможности применения льготы в будущих периодах при условии перехода на ЕСХН.</w:t>
      </w:r>
      <w:proofErr w:type="gramEnd"/>
    </w:p>
    <w:p w:rsidR="005A3368" w:rsidRPr="003D73E6" w:rsidRDefault="005A3368" w:rsidP="005A3368">
      <w:pPr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proofErr w:type="gramStart"/>
      <w:r w:rsidRPr="003D73E6">
        <w:rPr>
          <w:color w:val="auto"/>
          <w:sz w:val="26"/>
          <w:szCs w:val="26"/>
        </w:rPr>
        <w:t xml:space="preserve">При этом обращается внимание, что согласно требованиям части 5 статьи 346.2 и части 3 статьи 346.3 Налогового кодекса Российской Федерации переход на уплату ЕСХН осуществляется организациями и индивидуальными предпринимателями добровольно путем подачи в налоговые органы уведомления о переходе на ЕСХН, которое необходимо подать в налоговый орган в срок </w:t>
      </w:r>
      <w:r w:rsidRPr="003D73E6">
        <w:rPr>
          <w:b/>
          <w:color w:val="auto"/>
          <w:sz w:val="26"/>
          <w:szCs w:val="26"/>
        </w:rPr>
        <w:t>до 31 декабря</w:t>
      </w:r>
      <w:r w:rsidRPr="003D73E6">
        <w:rPr>
          <w:color w:val="auto"/>
          <w:sz w:val="26"/>
          <w:szCs w:val="26"/>
        </w:rPr>
        <w:t xml:space="preserve"> календарного года, предшествующего календарному году, начиная с которого они</w:t>
      </w:r>
      <w:proofErr w:type="gramEnd"/>
      <w:r w:rsidRPr="003D73E6">
        <w:rPr>
          <w:color w:val="auto"/>
          <w:sz w:val="26"/>
          <w:szCs w:val="26"/>
        </w:rPr>
        <w:t xml:space="preserve"> переходят на уплату ЕСХН.</w:t>
      </w:r>
    </w:p>
    <w:p w:rsidR="00EA1FB4" w:rsidRPr="003D73E6" w:rsidRDefault="00EA1FB4" w:rsidP="005A3368">
      <w:pPr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</w:p>
    <w:p w:rsidR="00EA1FB4" w:rsidRPr="003D73E6" w:rsidRDefault="00EA1FB4" w:rsidP="005A3368">
      <w:pPr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3D73E6">
        <w:rPr>
          <w:color w:val="auto"/>
          <w:sz w:val="26"/>
          <w:szCs w:val="26"/>
        </w:rPr>
        <w:t>Кроме того, напоминаем:</w:t>
      </w:r>
    </w:p>
    <w:p w:rsidR="00EA1FB4" w:rsidRPr="003D73E6" w:rsidRDefault="00EA1FB4" w:rsidP="00EA1FB4">
      <w:pPr>
        <w:ind w:firstLine="707"/>
        <w:jc w:val="both"/>
        <w:rPr>
          <w:sz w:val="26"/>
          <w:szCs w:val="26"/>
        </w:rPr>
      </w:pPr>
      <w:r w:rsidRPr="003D73E6">
        <w:rPr>
          <w:sz w:val="26"/>
          <w:szCs w:val="26"/>
        </w:rPr>
        <w:t xml:space="preserve">- о необходимости не только приобретения и регистрации контрольно-кассовой техники, но и ее применения, т.е. </w:t>
      </w:r>
      <w:r w:rsidRPr="003D73E6">
        <w:rPr>
          <w:b/>
          <w:sz w:val="26"/>
          <w:szCs w:val="26"/>
        </w:rPr>
        <w:t>фиксации производимых расчетов</w:t>
      </w:r>
      <w:r w:rsidRPr="003D73E6">
        <w:rPr>
          <w:sz w:val="26"/>
          <w:szCs w:val="26"/>
        </w:rPr>
        <w:t>;</w:t>
      </w:r>
    </w:p>
    <w:p w:rsidR="00EA1FB4" w:rsidRPr="003D73E6" w:rsidRDefault="00EA1FB4" w:rsidP="00EA1FB4">
      <w:pPr>
        <w:ind w:firstLine="707"/>
        <w:jc w:val="both"/>
        <w:rPr>
          <w:sz w:val="26"/>
          <w:szCs w:val="26"/>
        </w:rPr>
      </w:pPr>
      <w:r w:rsidRPr="003D73E6">
        <w:rPr>
          <w:sz w:val="26"/>
          <w:szCs w:val="26"/>
        </w:rPr>
        <w:t xml:space="preserve">- о мониторинге Федеральной налоговой службой как факта регистрации контрольно-кассовой техники, так и ее </w:t>
      </w:r>
      <w:r w:rsidRPr="003D73E6">
        <w:rPr>
          <w:b/>
          <w:sz w:val="26"/>
          <w:szCs w:val="26"/>
        </w:rPr>
        <w:t xml:space="preserve">применения </w:t>
      </w:r>
      <w:r w:rsidRPr="003D73E6">
        <w:rPr>
          <w:sz w:val="26"/>
          <w:szCs w:val="26"/>
        </w:rPr>
        <w:t>каждым арендатором на рынке;</w:t>
      </w:r>
    </w:p>
    <w:p w:rsidR="00EA1FB4" w:rsidRPr="003D73E6" w:rsidRDefault="00EA1FB4" w:rsidP="00EA1F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73E6">
        <w:rPr>
          <w:sz w:val="26"/>
          <w:szCs w:val="26"/>
        </w:rPr>
        <w:t xml:space="preserve">-о возможности наступления административной ответственности за </w:t>
      </w:r>
      <w:r w:rsidRPr="003D73E6">
        <w:rPr>
          <w:b/>
          <w:sz w:val="26"/>
          <w:szCs w:val="26"/>
        </w:rPr>
        <w:t>неприменение</w:t>
      </w:r>
      <w:r w:rsidRPr="003D73E6">
        <w:rPr>
          <w:sz w:val="26"/>
          <w:szCs w:val="26"/>
        </w:rPr>
        <w:t xml:space="preserve"> контрольно-кассовой техники в соответствии со статьей 14.5 КоАП РФ. </w:t>
      </w:r>
      <w:proofErr w:type="gramStart"/>
      <w:r w:rsidRPr="003D73E6">
        <w:rPr>
          <w:sz w:val="26"/>
          <w:szCs w:val="26"/>
        </w:rPr>
        <w:t>В частности, налагается административный штраф: на должностных лиц в размере от 1/4 до 1/2 суммы расчета без применения кассы, но не менее 10 тысяч рублей; на юридических лиц - от 3/4 до полной суммы расчета без применения кассы, но не менее 30 тысяч рублей (ч. 2 ст. 14</w:t>
      </w:r>
      <w:r w:rsidRPr="003D73E6">
        <w:rPr>
          <w:sz w:val="26"/>
          <w:szCs w:val="26"/>
          <w:vertAlign w:val="superscript"/>
        </w:rPr>
        <w:t xml:space="preserve">5 </w:t>
      </w:r>
      <w:r w:rsidRPr="003D73E6">
        <w:rPr>
          <w:sz w:val="26"/>
          <w:szCs w:val="26"/>
        </w:rPr>
        <w:t>КоАП).</w:t>
      </w:r>
      <w:proofErr w:type="gramEnd"/>
    </w:p>
    <w:p w:rsidR="00EA1FB4" w:rsidRPr="003D73E6" w:rsidRDefault="00EA1FB4" w:rsidP="00EA1F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3D73E6">
        <w:rPr>
          <w:sz w:val="26"/>
          <w:szCs w:val="26"/>
        </w:rPr>
        <w:t>За повторное нарушение в случае, если сумма расчетов без применения кассы составила, в том числе в совокупности, 1 млн. рублей и более, влечет в отношении должностных лиц дисквалификацию на срок от одного года до двух лет; в отношении индивидуальных предпринимателей и юридических лиц - административное приостановление деятельности на срок до 90 суток (ч. 3 ст. 14</w:t>
      </w:r>
      <w:r w:rsidRPr="003D73E6">
        <w:rPr>
          <w:sz w:val="26"/>
          <w:szCs w:val="26"/>
          <w:vertAlign w:val="superscript"/>
        </w:rPr>
        <w:t>5</w:t>
      </w:r>
      <w:r w:rsidRPr="003D73E6">
        <w:rPr>
          <w:sz w:val="26"/>
          <w:szCs w:val="26"/>
        </w:rPr>
        <w:t xml:space="preserve"> КоАП).</w:t>
      </w:r>
      <w:proofErr w:type="gramEnd"/>
    </w:p>
    <w:p w:rsidR="00EA1FB4" w:rsidRDefault="00EA1FB4" w:rsidP="005A3368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5A3368" w:rsidRPr="005C589C" w:rsidRDefault="005A3368" w:rsidP="00EA1FB4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sectPr w:rsidR="005A3368" w:rsidRPr="005C589C" w:rsidSect="00DC7F74">
      <w:pgSz w:w="11906" w:h="16838"/>
      <w:pgMar w:top="567" w:right="567" w:bottom="567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F74"/>
    <w:rsid w:val="00081E2C"/>
    <w:rsid w:val="000B0F7A"/>
    <w:rsid w:val="000D155E"/>
    <w:rsid w:val="003905FF"/>
    <w:rsid w:val="003C345E"/>
    <w:rsid w:val="003D73E6"/>
    <w:rsid w:val="00432635"/>
    <w:rsid w:val="00441676"/>
    <w:rsid w:val="00486467"/>
    <w:rsid w:val="00493CC1"/>
    <w:rsid w:val="005A3368"/>
    <w:rsid w:val="005B3331"/>
    <w:rsid w:val="005B7B15"/>
    <w:rsid w:val="005C589C"/>
    <w:rsid w:val="005D7ACD"/>
    <w:rsid w:val="005F416B"/>
    <w:rsid w:val="0073709E"/>
    <w:rsid w:val="007424E3"/>
    <w:rsid w:val="007D5765"/>
    <w:rsid w:val="00845F2F"/>
    <w:rsid w:val="008B1176"/>
    <w:rsid w:val="00926BCF"/>
    <w:rsid w:val="009D15FD"/>
    <w:rsid w:val="00A60BE4"/>
    <w:rsid w:val="00B12597"/>
    <w:rsid w:val="00BC6D87"/>
    <w:rsid w:val="00C870FC"/>
    <w:rsid w:val="00D53B41"/>
    <w:rsid w:val="00D75C9A"/>
    <w:rsid w:val="00DC7F74"/>
    <w:rsid w:val="00E20819"/>
    <w:rsid w:val="00EA1FB4"/>
    <w:rsid w:val="00EA5949"/>
    <w:rsid w:val="00F36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C7F74"/>
    <w:rPr>
      <w:sz w:val="24"/>
    </w:rPr>
  </w:style>
  <w:style w:type="paragraph" w:styleId="10">
    <w:name w:val="heading 1"/>
    <w:next w:val="a"/>
    <w:link w:val="11"/>
    <w:uiPriority w:val="9"/>
    <w:qFormat/>
    <w:rsid w:val="00DC7F74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DC7F74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DC7F74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DC7F74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DC7F74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C7F74"/>
    <w:rPr>
      <w:sz w:val="24"/>
    </w:rPr>
  </w:style>
  <w:style w:type="paragraph" w:styleId="21">
    <w:name w:val="toc 2"/>
    <w:next w:val="a"/>
    <w:link w:val="22"/>
    <w:uiPriority w:val="39"/>
    <w:rsid w:val="00DC7F74"/>
    <w:pPr>
      <w:ind w:left="200"/>
    </w:pPr>
  </w:style>
  <w:style w:type="character" w:customStyle="1" w:styleId="22">
    <w:name w:val="Оглавление 2 Знак"/>
    <w:link w:val="21"/>
    <w:rsid w:val="00DC7F74"/>
  </w:style>
  <w:style w:type="paragraph" w:styleId="41">
    <w:name w:val="toc 4"/>
    <w:next w:val="a"/>
    <w:link w:val="42"/>
    <w:uiPriority w:val="39"/>
    <w:rsid w:val="00DC7F74"/>
    <w:pPr>
      <w:ind w:left="600"/>
    </w:pPr>
  </w:style>
  <w:style w:type="character" w:customStyle="1" w:styleId="42">
    <w:name w:val="Оглавление 4 Знак"/>
    <w:link w:val="41"/>
    <w:rsid w:val="00DC7F74"/>
  </w:style>
  <w:style w:type="paragraph" w:styleId="6">
    <w:name w:val="toc 6"/>
    <w:next w:val="a"/>
    <w:link w:val="60"/>
    <w:uiPriority w:val="39"/>
    <w:rsid w:val="00DC7F74"/>
    <w:pPr>
      <w:ind w:left="1000"/>
    </w:pPr>
  </w:style>
  <w:style w:type="character" w:customStyle="1" w:styleId="60">
    <w:name w:val="Оглавление 6 Знак"/>
    <w:link w:val="6"/>
    <w:rsid w:val="00DC7F74"/>
  </w:style>
  <w:style w:type="paragraph" w:styleId="7">
    <w:name w:val="toc 7"/>
    <w:next w:val="a"/>
    <w:link w:val="70"/>
    <w:uiPriority w:val="39"/>
    <w:rsid w:val="00DC7F74"/>
    <w:pPr>
      <w:ind w:left="1200"/>
    </w:pPr>
  </w:style>
  <w:style w:type="character" w:customStyle="1" w:styleId="70">
    <w:name w:val="Оглавление 7 Знак"/>
    <w:link w:val="7"/>
    <w:rsid w:val="00DC7F74"/>
  </w:style>
  <w:style w:type="character" w:customStyle="1" w:styleId="30">
    <w:name w:val="Заголовок 3 Знак"/>
    <w:link w:val="3"/>
    <w:rsid w:val="00DC7F74"/>
    <w:rPr>
      <w:rFonts w:ascii="XO Thames" w:hAnsi="XO Thames"/>
      <w:b/>
      <w:i/>
      <w:color w:val="000000"/>
    </w:rPr>
  </w:style>
  <w:style w:type="paragraph" w:styleId="a3">
    <w:name w:val="Balloon Text"/>
    <w:basedOn w:val="a"/>
    <w:link w:val="a4"/>
    <w:rsid w:val="00DC7F7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DC7F74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rsid w:val="00DC7F74"/>
    <w:pPr>
      <w:ind w:left="400"/>
    </w:pPr>
  </w:style>
  <w:style w:type="character" w:customStyle="1" w:styleId="32">
    <w:name w:val="Оглавление 3 Знак"/>
    <w:link w:val="31"/>
    <w:rsid w:val="00DC7F74"/>
  </w:style>
  <w:style w:type="character" w:customStyle="1" w:styleId="50">
    <w:name w:val="Заголовок 5 Знак"/>
    <w:link w:val="5"/>
    <w:rsid w:val="00DC7F74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DC7F74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DC7F74"/>
    <w:rPr>
      <w:color w:val="0000FF"/>
      <w:u w:val="single"/>
    </w:rPr>
  </w:style>
  <w:style w:type="character" w:styleId="a5">
    <w:name w:val="Hyperlink"/>
    <w:link w:val="12"/>
    <w:rsid w:val="00DC7F74"/>
    <w:rPr>
      <w:color w:val="0000FF"/>
      <w:u w:val="single"/>
    </w:rPr>
  </w:style>
  <w:style w:type="paragraph" w:customStyle="1" w:styleId="Footnote">
    <w:name w:val="Footnote"/>
    <w:link w:val="Footnote1"/>
    <w:rsid w:val="00DC7F74"/>
    <w:rPr>
      <w:rFonts w:ascii="XO Thames" w:hAnsi="XO Thames"/>
      <w:sz w:val="22"/>
    </w:rPr>
  </w:style>
  <w:style w:type="character" w:customStyle="1" w:styleId="Footnote1">
    <w:name w:val="Footnote1"/>
    <w:link w:val="Footnote"/>
    <w:rsid w:val="00DC7F74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DC7F74"/>
    <w:rPr>
      <w:rFonts w:ascii="XO Thames" w:hAnsi="XO Thames"/>
      <w:b/>
    </w:rPr>
  </w:style>
  <w:style w:type="character" w:customStyle="1" w:styleId="14">
    <w:name w:val="Оглавление 1 Знак"/>
    <w:link w:val="13"/>
    <w:rsid w:val="00DC7F74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DC7F74"/>
    <w:pPr>
      <w:spacing w:line="360" w:lineRule="auto"/>
    </w:pPr>
    <w:rPr>
      <w:rFonts w:ascii="XO Thames" w:hAnsi="XO Thames"/>
    </w:rPr>
  </w:style>
  <w:style w:type="character" w:customStyle="1" w:styleId="HeaderandFooter1">
    <w:name w:val="Header and Footer1"/>
    <w:link w:val="HeaderandFooter"/>
    <w:rsid w:val="00DC7F74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DC7F74"/>
    <w:pPr>
      <w:ind w:left="1600"/>
    </w:pPr>
  </w:style>
  <w:style w:type="character" w:customStyle="1" w:styleId="90">
    <w:name w:val="Оглавление 9 Знак"/>
    <w:link w:val="9"/>
    <w:rsid w:val="00DC7F74"/>
  </w:style>
  <w:style w:type="paragraph" w:styleId="8">
    <w:name w:val="toc 8"/>
    <w:next w:val="a"/>
    <w:link w:val="80"/>
    <w:uiPriority w:val="39"/>
    <w:rsid w:val="00DC7F74"/>
    <w:pPr>
      <w:ind w:left="1400"/>
    </w:pPr>
  </w:style>
  <w:style w:type="character" w:customStyle="1" w:styleId="80">
    <w:name w:val="Оглавление 8 Знак"/>
    <w:link w:val="8"/>
    <w:rsid w:val="00DC7F74"/>
  </w:style>
  <w:style w:type="paragraph" w:customStyle="1" w:styleId="Normal0">
    <w:name w:val="Normal_0"/>
    <w:link w:val="Normal01"/>
    <w:rsid w:val="00DC7F74"/>
    <w:pPr>
      <w:widowControl w:val="0"/>
      <w:spacing w:before="180" w:line="264" w:lineRule="auto"/>
      <w:ind w:left="400" w:right="200"/>
      <w:jc w:val="center"/>
    </w:pPr>
    <w:rPr>
      <w:sz w:val="18"/>
    </w:rPr>
  </w:style>
  <w:style w:type="character" w:customStyle="1" w:styleId="Normal01">
    <w:name w:val="Normal_01"/>
    <w:link w:val="Normal0"/>
    <w:rsid w:val="00DC7F74"/>
    <w:rPr>
      <w:sz w:val="18"/>
    </w:rPr>
  </w:style>
  <w:style w:type="paragraph" w:styleId="51">
    <w:name w:val="toc 5"/>
    <w:next w:val="a"/>
    <w:link w:val="52"/>
    <w:uiPriority w:val="39"/>
    <w:rsid w:val="00DC7F74"/>
    <w:pPr>
      <w:ind w:left="800"/>
    </w:pPr>
  </w:style>
  <w:style w:type="character" w:customStyle="1" w:styleId="52">
    <w:name w:val="Оглавление 5 Знак"/>
    <w:link w:val="51"/>
    <w:rsid w:val="00DC7F74"/>
  </w:style>
  <w:style w:type="paragraph" w:customStyle="1" w:styleId="15">
    <w:name w:val="Основной шрифт абзаца1"/>
    <w:rsid w:val="00DC7F74"/>
  </w:style>
  <w:style w:type="paragraph" w:styleId="a6">
    <w:name w:val="Subtitle"/>
    <w:next w:val="a"/>
    <w:link w:val="a7"/>
    <w:uiPriority w:val="11"/>
    <w:qFormat/>
    <w:rsid w:val="00DC7F74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DC7F7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1"/>
    <w:uiPriority w:val="39"/>
    <w:rsid w:val="00DC7F74"/>
    <w:pPr>
      <w:ind w:left="1800"/>
    </w:pPr>
  </w:style>
  <w:style w:type="character" w:customStyle="1" w:styleId="toc101">
    <w:name w:val="toc 101"/>
    <w:link w:val="toc10"/>
    <w:rsid w:val="00DC7F74"/>
  </w:style>
  <w:style w:type="paragraph" w:styleId="a8">
    <w:name w:val="Title"/>
    <w:next w:val="a"/>
    <w:link w:val="a9"/>
    <w:uiPriority w:val="10"/>
    <w:qFormat/>
    <w:rsid w:val="00DC7F74"/>
    <w:rPr>
      <w:rFonts w:ascii="XO Thames" w:hAnsi="XO Thames"/>
      <w:b/>
      <w:sz w:val="52"/>
    </w:rPr>
  </w:style>
  <w:style w:type="character" w:customStyle="1" w:styleId="a9">
    <w:name w:val="Название Знак"/>
    <w:link w:val="a8"/>
    <w:rsid w:val="00DC7F74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DC7F7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DC7F74"/>
    <w:rPr>
      <w:rFonts w:ascii="XO Thames" w:hAnsi="XO Thames"/>
      <w:b/>
      <w:color w:val="00A0FF"/>
      <w:sz w:val="26"/>
    </w:rPr>
  </w:style>
  <w:style w:type="paragraph" w:customStyle="1" w:styleId="ConsPlusNormal">
    <w:name w:val="ConsPlusNormal"/>
    <w:rsid w:val="005F416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styleId="aa">
    <w:name w:val="No Spacing"/>
    <w:uiPriority w:val="1"/>
    <w:qFormat/>
    <w:rsid w:val="00493CC1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C7F74"/>
    <w:rPr>
      <w:sz w:val="24"/>
    </w:rPr>
  </w:style>
  <w:style w:type="paragraph" w:styleId="10">
    <w:name w:val="heading 1"/>
    <w:next w:val="a"/>
    <w:link w:val="11"/>
    <w:uiPriority w:val="9"/>
    <w:qFormat/>
    <w:rsid w:val="00DC7F74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DC7F74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DC7F74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DC7F74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DC7F74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C7F74"/>
    <w:rPr>
      <w:sz w:val="24"/>
    </w:rPr>
  </w:style>
  <w:style w:type="paragraph" w:styleId="21">
    <w:name w:val="toc 2"/>
    <w:next w:val="a"/>
    <w:link w:val="22"/>
    <w:uiPriority w:val="39"/>
    <w:rsid w:val="00DC7F74"/>
    <w:pPr>
      <w:ind w:left="200"/>
    </w:pPr>
  </w:style>
  <w:style w:type="character" w:customStyle="1" w:styleId="22">
    <w:name w:val="Оглавление 2 Знак"/>
    <w:link w:val="21"/>
    <w:rsid w:val="00DC7F74"/>
  </w:style>
  <w:style w:type="paragraph" w:styleId="41">
    <w:name w:val="toc 4"/>
    <w:next w:val="a"/>
    <w:link w:val="42"/>
    <w:uiPriority w:val="39"/>
    <w:rsid w:val="00DC7F74"/>
    <w:pPr>
      <w:ind w:left="600"/>
    </w:pPr>
  </w:style>
  <w:style w:type="character" w:customStyle="1" w:styleId="42">
    <w:name w:val="Оглавление 4 Знак"/>
    <w:link w:val="41"/>
    <w:rsid w:val="00DC7F74"/>
  </w:style>
  <w:style w:type="paragraph" w:styleId="6">
    <w:name w:val="toc 6"/>
    <w:next w:val="a"/>
    <w:link w:val="60"/>
    <w:uiPriority w:val="39"/>
    <w:rsid w:val="00DC7F74"/>
    <w:pPr>
      <w:ind w:left="1000"/>
    </w:pPr>
  </w:style>
  <w:style w:type="character" w:customStyle="1" w:styleId="60">
    <w:name w:val="Оглавление 6 Знак"/>
    <w:link w:val="6"/>
    <w:rsid w:val="00DC7F74"/>
  </w:style>
  <w:style w:type="paragraph" w:styleId="7">
    <w:name w:val="toc 7"/>
    <w:next w:val="a"/>
    <w:link w:val="70"/>
    <w:uiPriority w:val="39"/>
    <w:rsid w:val="00DC7F74"/>
    <w:pPr>
      <w:ind w:left="1200"/>
    </w:pPr>
  </w:style>
  <w:style w:type="character" w:customStyle="1" w:styleId="70">
    <w:name w:val="Оглавление 7 Знак"/>
    <w:link w:val="7"/>
    <w:rsid w:val="00DC7F74"/>
  </w:style>
  <w:style w:type="character" w:customStyle="1" w:styleId="30">
    <w:name w:val="Заголовок 3 Знак"/>
    <w:link w:val="3"/>
    <w:rsid w:val="00DC7F74"/>
    <w:rPr>
      <w:rFonts w:ascii="XO Thames" w:hAnsi="XO Thames"/>
      <w:b/>
      <w:i/>
      <w:color w:val="000000"/>
    </w:rPr>
  </w:style>
  <w:style w:type="paragraph" w:styleId="a3">
    <w:name w:val="Balloon Text"/>
    <w:basedOn w:val="a"/>
    <w:link w:val="a4"/>
    <w:rsid w:val="00DC7F7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DC7F74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rsid w:val="00DC7F74"/>
    <w:pPr>
      <w:ind w:left="400"/>
    </w:pPr>
  </w:style>
  <w:style w:type="character" w:customStyle="1" w:styleId="32">
    <w:name w:val="Оглавление 3 Знак"/>
    <w:link w:val="31"/>
    <w:rsid w:val="00DC7F74"/>
  </w:style>
  <w:style w:type="character" w:customStyle="1" w:styleId="50">
    <w:name w:val="Заголовок 5 Знак"/>
    <w:link w:val="5"/>
    <w:rsid w:val="00DC7F74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DC7F74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DC7F74"/>
    <w:rPr>
      <w:color w:val="0000FF"/>
      <w:u w:val="single"/>
    </w:rPr>
  </w:style>
  <w:style w:type="character" w:styleId="a5">
    <w:name w:val="Hyperlink"/>
    <w:link w:val="12"/>
    <w:rsid w:val="00DC7F74"/>
    <w:rPr>
      <w:color w:val="0000FF"/>
      <w:u w:val="single"/>
    </w:rPr>
  </w:style>
  <w:style w:type="paragraph" w:customStyle="1" w:styleId="Footnote">
    <w:name w:val="Footnote"/>
    <w:link w:val="Footnote1"/>
    <w:rsid w:val="00DC7F74"/>
    <w:rPr>
      <w:rFonts w:ascii="XO Thames" w:hAnsi="XO Thames"/>
      <w:sz w:val="22"/>
    </w:rPr>
  </w:style>
  <w:style w:type="character" w:customStyle="1" w:styleId="Footnote1">
    <w:name w:val="Footnote1"/>
    <w:link w:val="Footnote"/>
    <w:rsid w:val="00DC7F74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DC7F74"/>
    <w:rPr>
      <w:rFonts w:ascii="XO Thames" w:hAnsi="XO Thames"/>
      <w:b/>
    </w:rPr>
  </w:style>
  <w:style w:type="character" w:customStyle="1" w:styleId="14">
    <w:name w:val="Оглавление 1 Знак"/>
    <w:link w:val="13"/>
    <w:rsid w:val="00DC7F74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DC7F74"/>
    <w:pPr>
      <w:spacing w:line="360" w:lineRule="auto"/>
    </w:pPr>
    <w:rPr>
      <w:rFonts w:ascii="XO Thames" w:hAnsi="XO Thames"/>
    </w:rPr>
  </w:style>
  <w:style w:type="character" w:customStyle="1" w:styleId="HeaderandFooter1">
    <w:name w:val="Header and Footer1"/>
    <w:link w:val="HeaderandFooter"/>
    <w:rsid w:val="00DC7F74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DC7F74"/>
    <w:pPr>
      <w:ind w:left="1600"/>
    </w:pPr>
  </w:style>
  <w:style w:type="character" w:customStyle="1" w:styleId="90">
    <w:name w:val="Оглавление 9 Знак"/>
    <w:link w:val="9"/>
    <w:rsid w:val="00DC7F74"/>
  </w:style>
  <w:style w:type="paragraph" w:styleId="8">
    <w:name w:val="toc 8"/>
    <w:next w:val="a"/>
    <w:link w:val="80"/>
    <w:uiPriority w:val="39"/>
    <w:rsid w:val="00DC7F74"/>
    <w:pPr>
      <w:ind w:left="1400"/>
    </w:pPr>
  </w:style>
  <w:style w:type="character" w:customStyle="1" w:styleId="80">
    <w:name w:val="Оглавление 8 Знак"/>
    <w:link w:val="8"/>
    <w:rsid w:val="00DC7F74"/>
  </w:style>
  <w:style w:type="paragraph" w:customStyle="1" w:styleId="Normal0">
    <w:name w:val="Normal_0"/>
    <w:link w:val="Normal01"/>
    <w:rsid w:val="00DC7F74"/>
    <w:pPr>
      <w:widowControl w:val="0"/>
      <w:spacing w:before="180" w:line="264" w:lineRule="auto"/>
      <w:ind w:left="400" w:right="200"/>
      <w:jc w:val="center"/>
    </w:pPr>
    <w:rPr>
      <w:sz w:val="18"/>
    </w:rPr>
  </w:style>
  <w:style w:type="character" w:customStyle="1" w:styleId="Normal01">
    <w:name w:val="Normal_01"/>
    <w:link w:val="Normal0"/>
    <w:rsid w:val="00DC7F74"/>
    <w:rPr>
      <w:sz w:val="18"/>
    </w:rPr>
  </w:style>
  <w:style w:type="paragraph" w:styleId="51">
    <w:name w:val="toc 5"/>
    <w:next w:val="a"/>
    <w:link w:val="52"/>
    <w:uiPriority w:val="39"/>
    <w:rsid w:val="00DC7F74"/>
    <w:pPr>
      <w:ind w:left="800"/>
    </w:pPr>
  </w:style>
  <w:style w:type="character" w:customStyle="1" w:styleId="52">
    <w:name w:val="Оглавление 5 Знак"/>
    <w:link w:val="51"/>
    <w:rsid w:val="00DC7F74"/>
  </w:style>
  <w:style w:type="paragraph" w:customStyle="1" w:styleId="15">
    <w:name w:val="Основной шрифт абзаца1"/>
    <w:rsid w:val="00DC7F74"/>
  </w:style>
  <w:style w:type="paragraph" w:styleId="a6">
    <w:name w:val="Subtitle"/>
    <w:next w:val="a"/>
    <w:link w:val="a7"/>
    <w:uiPriority w:val="11"/>
    <w:qFormat/>
    <w:rsid w:val="00DC7F74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DC7F7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1"/>
    <w:uiPriority w:val="39"/>
    <w:rsid w:val="00DC7F74"/>
    <w:pPr>
      <w:ind w:left="1800"/>
    </w:pPr>
  </w:style>
  <w:style w:type="character" w:customStyle="1" w:styleId="toc101">
    <w:name w:val="toc 101"/>
    <w:link w:val="toc10"/>
    <w:rsid w:val="00DC7F74"/>
  </w:style>
  <w:style w:type="paragraph" w:styleId="a8">
    <w:name w:val="Title"/>
    <w:next w:val="a"/>
    <w:link w:val="a9"/>
    <w:uiPriority w:val="10"/>
    <w:qFormat/>
    <w:rsid w:val="00DC7F74"/>
    <w:rPr>
      <w:rFonts w:ascii="XO Thames" w:hAnsi="XO Thames"/>
      <w:b/>
      <w:sz w:val="52"/>
    </w:rPr>
  </w:style>
  <w:style w:type="character" w:customStyle="1" w:styleId="a9">
    <w:name w:val="Название Знак"/>
    <w:link w:val="a8"/>
    <w:rsid w:val="00DC7F74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DC7F7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DC7F74"/>
    <w:rPr>
      <w:rFonts w:ascii="XO Thames" w:hAnsi="XO Thames"/>
      <w:b/>
      <w:color w:val="00A0FF"/>
      <w:sz w:val="26"/>
    </w:rPr>
  </w:style>
  <w:style w:type="paragraph" w:customStyle="1" w:styleId="ConsPlusNormal">
    <w:name w:val="ConsPlusNormal"/>
    <w:rsid w:val="005F416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styleId="aa">
    <w:name w:val="No Spacing"/>
    <w:uiPriority w:val="1"/>
    <w:qFormat/>
    <w:rsid w:val="00493CC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Рудинская Татьяна Николаевна</dc:creator>
  <cp:lastModifiedBy>Силаева Надежда Александровна</cp:lastModifiedBy>
  <cp:revision>3</cp:revision>
  <cp:lastPrinted>2021-12-08T06:01:00Z</cp:lastPrinted>
  <dcterms:created xsi:type="dcterms:W3CDTF">2021-12-08T11:47:00Z</dcterms:created>
  <dcterms:modified xsi:type="dcterms:W3CDTF">2021-12-13T09:48:00Z</dcterms:modified>
</cp:coreProperties>
</file>